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仙游县总医院新院搬迁办公家具、密集架、安全检查监视报警设备采购项目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CGXM-2025-350322-00489[2025]00423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[350322]XYZFCG[GK]2025004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福建省仙游县总医院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仙游县行政服务中心管理委员会</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仙游县行政服务中心管理委员会</w:t>
      </w:r>
      <w:r>
        <w:rPr>
          <w:rFonts w:ascii="仿宋_GB2312" w:hAnsi="仿宋_GB2312" w:cs="仿宋_GB2312" w:eastAsia="仿宋_GB2312"/>
        </w:rPr>
        <w:t xml:space="preserve"> 采用公开招标方式组织 </w:t>
      </w:r>
      <w:r>
        <w:rPr>
          <w:rFonts w:ascii="仿宋_GB2312" w:hAnsi="仿宋_GB2312" w:cs="仿宋_GB2312" w:eastAsia="仿宋_GB2312"/>
        </w:rPr>
        <w:t>仙游县总医院新院搬迁办公家具、密集架、安全检查监视报警设备采购项目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CGXM-2025-350322-00489[2025]00423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[350322]XYZFCG[GK]2025004</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不适用本产品</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不适用本产品</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不适用本产品</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福建省仙游县总医院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仙游县鲤城街道八二五大街910号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杨文凌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0594-8581013</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仙游县行政服务中心管理委员会</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福建省莆田市仙游县鲤城街道坝垅社区清源东路2号</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351200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林剑锋</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0594-8290439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仙游县行政服务中心管理委员会</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3,974,400.00</w:t>
      </w:r>
    </w:p>
    <w:p>
      <w:pPr>
        <w:pStyle w:val="null3"/>
        <w:jc w:val="left"/>
      </w:pPr>
      <w:r>
        <w:rPr>
          <w:rFonts w:ascii="仿宋_GB2312" w:hAnsi="仿宋_GB2312" w:cs="仿宋_GB2312" w:eastAsia="仿宋_GB2312"/>
        </w:rPr>
        <w:t>采购包最高限价（元）: 3,974,400.00</w:t>
      </w:r>
    </w:p>
    <w:p>
      <w:pPr>
        <w:pStyle w:val="null3"/>
        <w:jc w:val="left"/>
      </w:pPr>
      <w:r>
        <w:rPr>
          <w:rFonts w:ascii="仿宋_GB2312" w:hAnsi="仿宋_GB2312" w:cs="仿宋_GB2312" w:eastAsia="仿宋_GB2312"/>
        </w:rPr>
        <w:t>采购包保证金金额（元）: 39,744.00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其他架类</w:t>
            </w:r>
          </w:p>
        </w:tc>
        <w:tc>
          <w:tcPr>
            <w:tcW w:type="dxa" w:w="1187"/>
          </w:tcPr>
          <w:p>
            <w:pPr>
              <w:pStyle w:val="null3"/>
              <w:jc w:val="right"/>
            </w:pPr>
            <w:r>
              <w:rPr>
                <w:rFonts w:ascii="仿宋_GB2312" w:hAnsi="仿宋_GB2312" w:cs="仿宋_GB2312" w:eastAsia="仿宋_GB2312"/>
              </w:rPr>
              <w:t>1,300.00</w:t>
            </w:r>
          </w:p>
        </w:tc>
        <w:tc>
          <w:tcPr>
            <w:tcW w:type="dxa" w:w="1187"/>
          </w:tcPr>
          <w:p>
            <w:pPr>
              <w:pStyle w:val="null3"/>
              <w:jc w:val="right"/>
            </w:pPr>
            <w:r>
              <w:rPr>
                <w:rFonts w:ascii="仿宋_GB2312" w:hAnsi="仿宋_GB2312" w:cs="仿宋_GB2312" w:eastAsia="仿宋_GB2312"/>
              </w:rPr>
              <w:t>3,380,000.00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安全、检查、监视、报警设备</w:t>
            </w:r>
          </w:p>
        </w:tc>
        <w:tc>
          <w:tcPr>
            <w:tcW w:type="dxa" w:w="1187"/>
          </w:tcPr>
          <w:p>
            <w:pPr>
              <w:pStyle w:val="null3"/>
              <w:jc w:val="right"/>
            </w:pPr>
            <w:r>
              <w:rPr>
                <w:rFonts w:ascii="仿宋_GB2312" w:hAnsi="仿宋_GB2312" w:cs="仿宋_GB2312" w:eastAsia="仿宋_GB2312"/>
              </w:rPr>
              <w:t>2,300.00</w:t>
            </w:r>
          </w:p>
        </w:tc>
        <w:tc>
          <w:tcPr>
            <w:tcW w:type="dxa" w:w="1187"/>
          </w:tcPr>
          <w:p>
            <w:pPr>
              <w:pStyle w:val="null3"/>
              <w:jc w:val="right"/>
            </w:pPr>
            <w:r>
              <w:rPr>
                <w:rFonts w:ascii="仿宋_GB2312" w:hAnsi="仿宋_GB2312" w:cs="仿宋_GB2312" w:eastAsia="仿宋_GB2312"/>
              </w:rPr>
              <w:t>489,900.00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安全、检查、监视、报警设备</w:t>
            </w:r>
          </w:p>
        </w:tc>
        <w:tc>
          <w:tcPr>
            <w:tcW w:type="dxa" w:w="1187"/>
          </w:tcPr>
          <w:p>
            <w:pPr>
              <w:pStyle w:val="null3"/>
              <w:jc w:val="right"/>
            </w:pPr>
            <w:r>
              <w:rPr>
                <w:rFonts w:ascii="仿宋_GB2312" w:hAnsi="仿宋_GB2312" w:cs="仿宋_GB2312" w:eastAsia="仿宋_GB2312"/>
              </w:rPr>
              <w:t>550.00</w:t>
            </w:r>
          </w:p>
        </w:tc>
        <w:tc>
          <w:tcPr>
            <w:tcW w:type="dxa" w:w="1187"/>
          </w:tcPr>
          <w:p>
            <w:pPr>
              <w:pStyle w:val="null3"/>
              <w:jc w:val="right"/>
            </w:pPr>
            <w:r>
              <w:rPr>
                <w:rFonts w:ascii="仿宋_GB2312" w:hAnsi="仿宋_GB2312" w:cs="仿宋_GB2312" w:eastAsia="仿宋_GB2312"/>
              </w:rPr>
              <w:t>104,500.00</w:t>
            </w:r>
          </w:p>
        </w:tc>
        <w:tc>
          <w:tcPr>
            <w:tcW w:type="dxa" w:w="1187"/>
          </w:tcPr>
          <w:p>
            <w:pPr>
              <w:pStyle w:val="null3"/>
              <w:jc w:val="left"/>
            </w:pPr>
            <w:r>
              <w:rPr>
                <w:rFonts w:ascii="仿宋_GB2312" w:hAnsi="仿宋_GB2312" w:cs="仿宋_GB2312" w:eastAsia="仿宋_GB2312"/>
              </w:rPr>
              <w:t>个</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8,156,800.00</w:t>
      </w:r>
    </w:p>
    <w:p>
      <w:pPr>
        <w:pStyle w:val="null3"/>
        <w:jc w:val="left"/>
      </w:pPr>
      <w:r>
        <w:rPr>
          <w:rFonts w:ascii="仿宋_GB2312" w:hAnsi="仿宋_GB2312" w:cs="仿宋_GB2312" w:eastAsia="仿宋_GB2312"/>
        </w:rPr>
        <w:t>采购包最高限价（元）: 8,156,800.00</w:t>
      </w:r>
    </w:p>
    <w:p>
      <w:pPr>
        <w:pStyle w:val="null3"/>
        <w:jc w:val="left"/>
      </w:pPr>
      <w:r>
        <w:rPr>
          <w:rFonts w:ascii="仿宋_GB2312" w:hAnsi="仿宋_GB2312" w:cs="仿宋_GB2312" w:eastAsia="仿宋_GB2312"/>
        </w:rPr>
        <w:t>采购包保证金金额（元）: 81,568.00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其他台、桌类</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6,000,000.00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其他椅凳类</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536,800.00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其他椅凳类</w:t>
            </w:r>
          </w:p>
        </w:tc>
        <w:tc>
          <w:tcPr>
            <w:tcW w:type="dxa" w:w="1187"/>
          </w:tcPr>
          <w:p>
            <w:pPr>
              <w:pStyle w:val="null3"/>
              <w:jc w:val="right"/>
            </w:pPr>
            <w:r>
              <w:rPr>
                <w:rFonts w:ascii="仿宋_GB2312" w:hAnsi="仿宋_GB2312" w:cs="仿宋_GB2312" w:eastAsia="仿宋_GB2312"/>
              </w:rPr>
              <w:t>1,200.00</w:t>
            </w:r>
          </w:p>
        </w:tc>
        <w:tc>
          <w:tcPr>
            <w:tcW w:type="dxa" w:w="1187"/>
          </w:tcPr>
          <w:p>
            <w:pPr>
              <w:pStyle w:val="null3"/>
              <w:jc w:val="right"/>
            </w:pPr>
            <w:r>
              <w:rPr>
                <w:rFonts w:ascii="仿宋_GB2312" w:hAnsi="仿宋_GB2312" w:cs="仿宋_GB2312" w:eastAsia="仿宋_GB2312"/>
              </w:rPr>
              <w:t>1,620,000.00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其他架类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安全、检查、监视、报警设备1</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489,900.00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安全、检查、监视、报警设备2</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其他架类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其他架类</w:t>
            </w:r>
          </w:p>
        </w:tc>
        <w:tc>
          <w:tcPr>
            <w:tcW w:type="dxa" w:w="2076"/>
          </w:tcPr>
          <w:p>
            <w:pPr>
              <w:pStyle w:val="null3"/>
              <w:jc w:val="left"/>
            </w:pPr>
            <w:r>
              <w:rPr>
                <w:rFonts w:ascii="仿宋_GB2312" w:hAnsi="仿宋_GB2312" w:cs="仿宋_GB2312" w:eastAsia="仿宋_GB2312"/>
              </w:rPr>
              <w:t>其他架类</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3,380,000.00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安全、检查、监视、报警设备1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安全、检查、监视、报警设备1</w:t>
            </w:r>
          </w:p>
        </w:tc>
        <w:tc>
          <w:tcPr>
            <w:tcW w:type="dxa" w:w="2076"/>
          </w:tcPr>
          <w:p>
            <w:pPr>
              <w:pStyle w:val="null3"/>
              <w:jc w:val="left"/>
            </w:pPr>
            <w:r>
              <w:rPr>
                <w:rFonts w:ascii="仿宋_GB2312" w:hAnsi="仿宋_GB2312" w:cs="仿宋_GB2312" w:eastAsia="仿宋_GB2312"/>
              </w:rPr>
              <w:t>安全、检查、监视、报警设备1</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489,900.00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安全、检查、监视、报警设备2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安全、检查、监视、报警设备2</w:t>
            </w:r>
          </w:p>
        </w:tc>
        <w:tc>
          <w:tcPr>
            <w:tcW w:type="dxa" w:w="2076"/>
          </w:tcPr>
          <w:p>
            <w:pPr>
              <w:pStyle w:val="null3"/>
              <w:jc w:val="left"/>
            </w:pPr>
            <w:r>
              <w:rPr>
                <w:rFonts w:ascii="仿宋_GB2312" w:hAnsi="仿宋_GB2312" w:cs="仿宋_GB2312" w:eastAsia="仿宋_GB2312"/>
              </w:rPr>
              <w:t>安全、检查、监视、报警设备2</w:t>
            </w:r>
          </w:p>
        </w:tc>
        <w:tc>
          <w:tcPr>
            <w:tcW w:type="dxa" w:w="415"/>
          </w:tcPr>
          <w:p>
            <w:pPr>
              <w:pStyle w:val="null3"/>
              <w:jc w:val="left"/>
            </w:pPr>
            <w:r>
              <w:rPr>
                <w:rFonts w:ascii="仿宋_GB2312" w:hAnsi="仿宋_GB2312" w:cs="仿宋_GB2312" w:eastAsia="仿宋_GB2312"/>
              </w:rPr>
              <w:t>个</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104,500.00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其他台、桌类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其他椅凳类1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其他椅凳类2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其他台、桌类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其他台、桌类</w:t>
            </w:r>
          </w:p>
        </w:tc>
        <w:tc>
          <w:tcPr>
            <w:tcW w:type="dxa" w:w="2076"/>
          </w:tcPr>
          <w:p>
            <w:pPr>
              <w:pStyle w:val="null3"/>
              <w:jc w:val="left"/>
            </w:pPr>
            <w:r>
              <w:rPr>
                <w:rFonts w:ascii="仿宋_GB2312" w:hAnsi="仿宋_GB2312" w:cs="仿宋_GB2312" w:eastAsia="仿宋_GB2312"/>
              </w:rPr>
              <w:t>其他台、桌类</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其他椅凳类1</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其他椅凳类1</w:t>
            </w:r>
          </w:p>
        </w:tc>
        <w:tc>
          <w:tcPr>
            <w:tcW w:type="dxa" w:w="2076"/>
          </w:tcPr>
          <w:p>
            <w:pPr>
              <w:pStyle w:val="null3"/>
              <w:jc w:val="left"/>
            </w:pPr>
            <w:r>
              <w:rPr>
                <w:rFonts w:ascii="仿宋_GB2312" w:hAnsi="仿宋_GB2312" w:cs="仿宋_GB2312" w:eastAsia="仿宋_GB2312"/>
              </w:rPr>
              <w:t>其他椅凳类1</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536,800.00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其他椅凳类2</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其他椅凳类2</w:t>
            </w:r>
          </w:p>
        </w:tc>
        <w:tc>
          <w:tcPr>
            <w:tcW w:type="dxa" w:w="2076"/>
          </w:tcPr>
          <w:p>
            <w:pPr>
              <w:pStyle w:val="null3"/>
              <w:jc w:val="left"/>
            </w:pPr>
            <w:r>
              <w:rPr>
                <w:rFonts w:ascii="仿宋_GB2312" w:hAnsi="仿宋_GB2312" w:cs="仿宋_GB2312" w:eastAsia="仿宋_GB2312"/>
              </w:rPr>
              <w:t>其他椅凳类2</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仙游县财政局政府采购监督管理办公室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本项目不收取代理服务费</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将顺延投标截止时间及开标时间，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仙游县行政服务中心管理委员会</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仙游县行政服务中心管理委员会</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仙游县行政服务中心管理委员会</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仙游县行政服务中心管理委员会</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仙游县行政服务中心管理委员会</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提出询问，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由仙游县行政服务中心管理委员会派出的工作人员至少1人，</w:t>
      </w:r>
      <w:r>
        <w:rPr>
          <w:rFonts w:ascii="仿宋_GB2312" w:hAnsi="仿宋_GB2312" w:cs="仿宋_GB2312" w:eastAsia="仿宋_GB2312"/>
        </w:rPr>
        <w:t>其余1人可为采购人代表或仙游县行政服务中心管理委员会的工作人员。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其中由福建省政府采购评审专家库产生的评审专家6人，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仙游县行政服务中心管理委员会</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仙游县行政服务中心管理委员会</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仙游县行政服务中心管理委员会</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技术项（F2×A2）满分为58.0000分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1、技术响应情况1</w:t>
            </w:r>
          </w:p>
        </w:tc>
        <w:tc>
          <w:tcPr>
            <w:tcW w:type="dxa" w:w="831"/>
          </w:tcPr>
          <w:p>
            <w:pPr>
              <w:pStyle w:val="null3"/>
              <w:jc w:val="right"/>
            </w:pPr>
            <w:r>
              <w:rPr>
                <w:rFonts w:ascii="仿宋_GB2312" w:hAnsi="仿宋_GB2312" w:cs="仿宋_GB2312" w:eastAsia="仿宋_GB2312"/>
              </w:rPr>
              <w:t>33.00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单位所投产品的技术参数和配置完全满足招标文件技术要求，本点满分33分。招标文件技术参数中带“▲”的技术参数为产品的重要技术参数指标，共计有22项，每有一项负偏离扣1.5分，扣完为止。注：带“▲”的重要参数须按照采购需求提供相关证明材料,未提供或提供不符合要求的不得分。</w:t>
            </w:r>
          </w:p>
        </w:tc>
      </w:tr>
      <w:tr>
        <w:tc>
          <w:tcPr>
            <w:tcW w:type="dxa" w:w="3322"/>
          </w:tcPr>
          <w:p>
            <w:pPr>
              <w:pStyle w:val="null3"/>
              <w:jc w:val="both"/>
            </w:pPr>
            <w:r>
              <w:rPr>
                <w:rFonts w:ascii="仿宋_GB2312" w:hAnsi="仿宋_GB2312" w:cs="仿宋_GB2312" w:eastAsia="仿宋_GB2312"/>
              </w:rPr>
              <w:t>2、技术响应情况2</w:t>
            </w:r>
          </w:p>
        </w:tc>
        <w:tc>
          <w:tcPr>
            <w:tcW w:type="dxa" w:w="831"/>
          </w:tcPr>
          <w:p>
            <w:pPr>
              <w:pStyle w:val="null3"/>
              <w:jc w:val="right"/>
            </w:pPr>
            <w:r>
              <w:rPr>
                <w:rFonts w:ascii="仿宋_GB2312" w:hAnsi="仿宋_GB2312" w:cs="仿宋_GB2312" w:eastAsia="仿宋_GB2312"/>
              </w:rPr>
              <w:t>12.00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投标单位所投产品的技术参数和配置完全满足招标文件技术要求，本点满分12分。招标文件技术参数中不带“▲”的技术参数为一般技术参数，共计有96项，每有一项负偏离扣0.15分，扣完为止。</w:t>
            </w:r>
          </w:p>
        </w:tc>
      </w:tr>
      <w:tr>
        <w:tc>
          <w:tcPr>
            <w:tcW w:type="dxa" w:w="3322"/>
          </w:tcPr>
          <w:p>
            <w:pPr>
              <w:pStyle w:val="null3"/>
              <w:jc w:val="both"/>
            </w:pPr>
            <w:r>
              <w:rPr>
                <w:rFonts w:ascii="仿宋_GB2312" w:hAnsi="仿宋_GB2312" w:cs="仿宋_GB2312" w:eastAsia="仿宋_GB2312"/>
              </w:rPr>
              <w:t>3、样品1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路轨垫板1根。（1）投标样品样式符合招标要求，细节处理精细，手感良好，颜色均匀，表面无破损、无毛刺、无起泡、无刺激性异味，完全满足采购需求的得2分；（2）投标样品样式符合招标要求，细节处理较精细，手感较好，颜色无明显不均匀，表面基本无破损、无毛刺、无起泡、无刺激性异味，基本满足采购需求的得1.7分；（3）投标样品样式符合招标要求，细节处理粗糙，手感一般，存在色泽不均匀、少量破损、少量毛刺、少量起泡、刺激性异味等缺陷，得1.5分；（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4、样品2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立柱1根。（1）投标样品样式符合招标要求，细节处理精细，手感良好，颜色均匀，表面无破损、无毛刺、无起泡、无刺激性异味，完全满足采购需求的得2分；（2）投标样品样式符合招标要求，细节处理较精细，手感较好，颜色无明显不均匀，表面基本无破损、无毛刺、无起泡、无刺激性异味，基本满足采购需求的得1.7分；（3）投标样品样式符合招标要求，细节处理粗糙，手感一般，存在色泽不均匀1.5分；（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5、样品3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搁板1块。（1）投标样品样式符合招标要求，细节处理精细，手感良好，颜色均匀，表面无破损、无毛刺、无起泡、无刺激性异味，完全满足采购需求的得2分；（2）投标样品样式符合招标要求，细节处理较精细，手感较好，颜色无明显不均匀，表面基本无破损、无毛刺、无起泡、无刺激性异味，基本满足采购需求的得1.7分；（3）投标样品样式符合招标要求，细节处理粗糙，手感一般，存在色泽不均匀、少量破损、少量毛刺、少量起泡、刺激性异味等缺陷，得1.5分；（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6、样品4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挂板1块。（1）投标样品样式符合招标要求，细节处理精细，手感良好，颜色均匀，表面无破损、无毛刺、无起泡、无刺激性异味，完全满足采购需求的得2分；（2）投标样品样式符合招标要求，细节处理较精细，手感较好，颜色无明显不均匀，表面基本无破损、无毛刺、无起泡、无刺激性异味，基本满足采购需求的得1.7分；（3）投标样品样式符合招标要求，细节处理粗糙，手感一般，存在色泽不均匀、少量破损、少量毛刺、少量起泡、刺激性异味等缺陷，得1.5分；（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7、样品5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对投标单位根据采购需求中要求提供的投标小样样品进行综合评审：圆盘式摇手1个。（1）投标样品样式符合招标要求，细节处理精细，手感良好，颜色均匀，表面无破损、无毛刺、无起泡、无刺激性异味，完全满足采购需求的得2分；（2）投标样品样式符合招标要求，细节处理较精细，手感较好，颜色无明显不均匀，表面基本无破损、无毛刺、无起泡、无刺激性异味，基本满足采购需求的得1.7分；（3）投标样品样式符合招标要求，细节处理粗糙，手感一般，存在色泽不均匀、少量破损、少量毛刺、少量起泡、刺激性异味等缺陷，得1.5分；（4）其他情况或投标人无提供或提供不全或不按招标文件要求提供的得0分。</w:t>
            </w:r>
          </w:p>
        </w:tc>
      </w:tr>
      <w:tr>
        <w:tc>
          <w:tcPr>
            <w:tcW w:type="dxa" w:w="3322"/>
          </w:tcPr>
          <w:p>
            <w:pPr>
              <w:pStyle w:val="null3"/>
              <w:jc w:val="both"/>
            </w:pPr>
            <w:r>
              <w:rPr>
                <w:rFonts w:ascii="仿宋_GB2312" w:hAnsi="仿宋_GB2312" w:cs="仿宋_GB2312" w:eastAsia="仿宋_GB2312"/>
              </w:rPr>
              <w:t>8、项目实施方案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针对本项目的实际情况，编制项目实施方案（至少包括①供货方案；②进度计划安排表；③质量保证措施；④安装调试方案；⑤验收方案；⑥培训方案）。评委根据所有投标人提供的项目实施方案进行评审，并按以下标准计分。（1）（3分）：项目实施方案完整无缺漏（上述6项），供货方案、进度计划安排合理可行，质量保证措施得力，安装调试方案、验收方案及培训结合项目实际，安排合理得当，符合项目实际，方案详尽可行性高，且优于采购文件需求。（2）（2.9分）：项目实施方案完整无缺漏（上述6项），供货方案、进度计划安排表合理可行，质量保证措施简单，安装调试方案、验收方案符合项目需求。（3）（2.8分）：项目实施方案无缺漏（上述6项），供货方案合理可行，进度计划安排表合理、但不满足项目实际需求，质量保证措施简单，安装调试方案、验收方案基本符合项目需求，项目实施方案基本可行性不高。（4）方案内容未全部满足或未提供项目实施方案得0分。</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投标人自2022年1月1日至今完成同类型密集架项目成交金额200万上的，每提供一份案例得1分，满分3分。 注：须同时提供业绩项目的中标（成交）通知书复印件、采购合同文本复印件，以及能够证明该业绩项目已经采购人验收合格的相关证明文件复印件，未提供或提供不齐的不得分。</w:t>
            </w:r>
          </w:p>
        </w:tc>
      </w:tr>
      <w:tr>
        <w:tc>
          <w:tcPr>
            <w:tcW w:type="dxa" w:w="3322"/>
          </w:tcPr>
          <w:p>
            <w:pPr>
              <w:pStyle w:val="null3"/>
              <w:jc w:val="left"/>
            </w:pPr>
            <w:r>
              <w:rPr>
                <w:rFonts w:ascii="仿宋_GB2312" w:hAnsi="仿宋_GB2312" w:cs="仿宋_GB2312" w:eastAsia="仿宋_GB2312"/>
              </w:rPr>
              <w:t>2、综合实力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（1）.管理体系认证： ①投标人具有有效的质量管理体系认证证书的，得0.5分； ②投标人具有有效的环境管理体系认证证书的，得0.5分； ③投标人具有有效的职业健康安全管理体系认证证书的，得0.5分 ④投标人具有云服务信息安全管理体系认证证书的，得0.5分。 （2）.数据安全能力： 投标人具有有效的数据安全能力成熟度二级（或以上）认证证书，得1分；（此证需同时提供有效期内的证书复印件及在全国认证认可信息公共服务平台（http://cx.cnca.cn）查询截图作为评审依据，已失效或撤销的不得分）。 注：以上证书均需同时提供有效期内的证书复印件及在全国认证认可信息公共服务平台（http://cx.cnca.cn）查询截图作为评审依据，已失效或撤销的不得分。 本点满分3分。</w:t>
            </w:r>
          </w:p>
        </w:tc>
      </w:tr>
      <w:tr>
        <w:tc>
          <w:tcPr>
            <w:tcW w:type="dxa" w:w="3322"/>
          </w:tcPr>
          <w:p>
            <w:pPr>
              <w:pStyle w:val="null3"/>
              <w:jc w:val="left"/>
            </w:pPr>
            <w:r>
              <w:rPr>
                <w:rFonts w:ascii="仿宋_GB2312" w:hAnsi="仿宋_GB2312" w:cs="仿宋_GB2312" w:eastAsia="仿宋_GB2312"/>
              </w:rPr>
              <w:t>3、服务团队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（1）针对拟派本项目的人员，其项目经理具备①智能机电一体化工程师高级证书；②国家信息安全水平证书(一级)证书；③IT服务工程师(高级)证书；④企业合规师证书。每提供一个证书得0.25分，本项满分1分。 （2）针对拟派本项目服务团队人员具有①硬件维修工程师证书；②手动密集架项目工程师证书；③弱电系统工程师证书；④国家信息安全水平证书，每提供一种得0.5分；一人多证仅取一种计分，本项最高得2分。 注：投标文件中提供项目团队人员相关专业证书（学历证书或资格证书复印件），并提供截至投标截止时间投标人最近三个月（不含当月）为上述所有人员缴纳的盖有社保章的社保证明（原件备查），未提供不得分。（举例：投标截止时间25年8月，故本点要求提供的是25年5到7月投标人为上述所有人员缴纳的盖有社保章的社保证明）。 本点满分3分。</w:t>
            </w:r>
          </w:p>
        </w:tc>
      </w:tr>
      <w:tr>
        <w:tc>
          <w:tcPr>
            <w:tcW w:type="dxa" w:w="3322"/>
          </w:tcPr>
          <w:p>
            <w:pPr>
              <w:pStyle w:val="null3"/>
              <w:jc w:val="left"/>
            </w:pPr>
            <w:r>
              <w:rPr>
                <w:rFonts w:ascii="仿宋_GB2312" w:hAnsi="仿宋_GB2312" w:cs="仿宋_GB2312" w:eastAsia="仿宋_GB2312"/>
              </w:rPr>
              <w:t>4、售后服务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售后服务方案包括但不限于以下内容：①售后服务内容；②响应方式；③响应时间（含到达故障现场时间）；④故障解决方案；⑤用户回访；⑥专业技术人员保障方案。 （1）（3分）：方案内容无缺漏（上述6项），方案内容全面完整且合理可行，售后服务内容承诺详细完整且合理、响应方式完整、响应时间优于招标文件要求、故障解决方案详细全面且合理有效、用户回访时间安排合理、专业技术人员不少于2名，能确保项目服务质量，能针对项目特性提出专业有效的方案，能很好满足项目采购要求。 （2）（2.9分）：方案内容无缺漏（上述6项），方案内容完整、合理准确，售后服务内容承诺完整、响应方式完整、响应时间合理、有具体到达故障现场的时间、故障解决方案详细、用户回访时间安排合理，专业技术人员不少于2名，能针对项目特性提出专业有效的方案，能满足项目采购要求； （3）（2.8分）：方案内容无缺漏（上述6项），方案内容不合理，售后服务内容承诺符合项目要求、响应方式单一、响应时间不合理、没有具体到达故障现场的时间、故障解决方案不详细、用户回访时间安排不合理，有专业技术人员至少2名，基本满足项目采购要求； （4）方案内容未全部满足或未提供售后服务方案得0分。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1、响应情况</w:t>
            </w:r>
          </w:p>
        </w:tc>
        <w:tc>
          <w:tcPr>
            <w:tcW w:type="dxa" w:w="831"/>
          </w:tcPr>
          <w:p>
            <w:pPr>
              <w:pStyle w:val="null3"/>
              <w:jc w:val="right"/>
            </w:pPr>
            <w:r>
              <w:rPr>
                <w:rFonts w:ascii="仿宋_GB2312" w:hAnsi="仿宋_GB2312" w:cs="仿宋_GB2312" w:eastAsia="仿宋_GB2312"/>
              </w:rPr>
              <w:t>47.00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根据各投标人所提供的技术和服务要求响应表，对招标文件第五章 招标内容及要求中“二、技术和服务要求”的各项条款内容的响应情况进行评分：标注“★”的内容（共计2项）为不允许负偏离的实质性要求，不满足的视为无效投标；标注“●”内容的共计13项，每项2分，满分26分，每偏离一项扣2分，扣完为止；标注“▲”内容的共计21项，满分21分，每偏离一项扣1分，扣完为止。未标注的不作评分项。</w:t>
            </w:r>
          </w:p>
        </w:tc>
      </w:tr>
      <w:tr>
        <w:tc>
          <w:tcPr>
            <w:tcW w:type="dxa" w:w="3322"/>
          </w:tcPr>
          <w:p>
            <w:pPr>
              <w:pStyle w:val="null3"/>
              <w:jc w:val="both"/>
            </w:pPr>
            <w:r>
              <w:rPr>
                <w:rFonts w:ascii="仿宋_GB2312" w:hAnsi="仿宋_GB2312" w:cs="仿宋_GB2312" w:eastAsia="仿宋_GB2312"/>
              </w:rPr>
              <w:t>2、生产设备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或所投产品制造商具有完成本次项目所需的主要生产设备：①喷涂生产线、②自动封边机、③冲床、④机器人焊接工作站、⑤激光切割机、⑥数控弯管机、⑦注塑机、⑧排钻、⑨高速电脑裁板锯、⑩侧面钻、⑪多排多轴钻、⑫加工中心、⑬重型可倾斜锯片推台锯、⑭永磁变频空压机、⑮双面清洁除胶机、，以上设备材料齐全的得3分，具备13种及以上 得2分，具备10种及以上的得1分，少于10种的不得分，满分3分。注：一项完整的生产设备证明材料包括：①设备购置发票（购置单位须为投标人或所投产品制造商），若发票中的设备名称与本项要求的生产设备名称不完全相同时需提供该设备的主要功能阐述说明，经评标委员会认定属于同类设备的视同符合本项评分要求，否则不得分。②每种设备实景照片至少一张。未按前述要求提供证明材料的不得分。</w:t>
            </w:r>
          </w:p>
        </w:tc>
      </w:tr>
      <w:tr>
        <w:tc>
          <w:tcPr>
            <w:tcW w:type="dxa" w:w="3322"/>
          </w:tcPr>
          <w:p>
            <w:pPr>
              <w:pStyle w:val="null3"/>
              <w:jc w:val="both"/>
            </w:pPr>
            <w:r>
              <w:rPr>
                <w:rFonts w:ascii="仿宋_GB2312" w:hAnsi="仿宋_GB2312" w:cs="仿宋_GB2312" w:eastAsia="仿宋_GB2312"/>
              </w:rPr>
              <w:t>3、样品1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1候诊椅”完整的一张和小样（含单独站脚1个和单独坐板1块）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4、样品2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11货架”完整的一个和小样（侧脚立柱1根，层板横梁1根）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5、样品3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21一字型办公桌”一张和小样（含单独屏风扣板1根、大中杆1根）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6、样品4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32办公椅”一张和小样（含单独未喷塑的椅脚1个）。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7、样品5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51陪护床”一张，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r>
        <w:tc>
          <w:tcPr>
            <w:tcW w:type="dxa" w:w="3322"/>
          </w:tcPr>
          <w:p>
            <w:pPr>
              <w:pStyle w:val="null3"/>
              <w:jc w:val="both"/>
            </w:pPr>
            <w:r>
              <w:rPr>
                <w:rFonts w:ascii="仿宋_GB2312" w:hAnsi="仿宋_GB2312" w:cs="仿宋_GB2312" w:eastAsia="仿宋_GB2312"/>
              </w:rPr>
              <w:t>8、样品6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样品“56礼堂椅”完整的一张和小样（站脚板1个、写字板1块）在满足样品技术要求的基础上，由评委从以下几方面进行综合评分：①材质用料质地均匀、手感细腻舒适；②无凹陷、压痕、裂缝、磨损等瑕疵；③无变形；无剥落；无异味的。以上要求全部满足的得2分；有1处不满足要求的得1.8分；2处及以上不满足要求的得1.5分。未提供样品或提供样品不完整或样品不符合招标文件参数要求的均不得分。</w:t>
            </w:r>
          </w:p>
        </w:tc>
      </w:tr>
    </w:tbl>
    <w:p>
      <w:pPr>
        <w:pStyle w:val="null3"/>
        <w:jc w:val="both"/>
      </w:pPr>
      <w:r>
        <w:rPr>
          <w:rFonts w:ascii="仿宋_GB2312" w:hAnsi="仿宋_GB2312" w:cs="仿宋_GB2312" w:eastAsia="仿宋_GB2312"/>
        </w:rPr>
        <w:t>商务项（F3×A3）满分为8.0000分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2021年1月1日至投标截止时间止（以签订合同时间为准）已完成的业绩情况进行打分，每提供一份完整的同类业绩证明材料得0.5分，满分3分。注：须同时提供业绩项目的中标（成交）通知书复印件、采购合同文本复印件，以及能够证明该业绩项目已经采购人验收合格的相关证明文件复印件，未提供或提供不齐的不得分。注：业绩和满意度为同一项目的，不重复得分。</w:t>
            </w:r>
          </w:p>
        </w:tc>
      </w:tr>
      <w:tr>
        <w:tc>
          <w:tcPr>
            <w:tcW w:type="dxa" w:w="3322"/>
          </w:tcPr>
          <w:p>
            <w:pPr>
              <w:pStyle w:val="null3"/>
              <w:jc w:val="left"/>
            </w:pPr>
            <w:r>
              <w:rPr>
                <w:rFonts w:ascii="仿宋_GB2312" w:hAnsi="仿宋_GB2312" w:cs="仿宋_GB2312" w:eastAsia="仿宋_GB2312"/>
              </w:rPr>
              <w:t>2、满意度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2021年1月1日至投标截止时间止（以签订合同时间为准）已完成的项目满意度情况进行打分，每提供一份完整的满意度为优的证明材料得0.5分，满分3分。注：须同时提供相关项目中标（成交）通知书复印件、采购合同文本复印件，以及能够证明该业绩项目已经采购人验收合格的相关证明文件、采购单位或业主对投标单位持满意或优秀或“90分（含90分或以上）”评价证明材料复印件，同时须提供上述满意度的客户清单（包含但不限于：项目名称、项目编号、安装时间、验收时间、客户名称及联系方式）未提供或提供不齐全的不得分。注：业绩和满意度为同一项目的，不重复得分。</w:t>
            </w:r>
          </w:p>
        </w:tc>
      </w:tr>
      <w:tr>
        <w:tc>
          <w:tcPr>
            <w:tcW w:type="dxa" w:w="3322"/>
          </w:tcPr>
          <w:p>
            <w:pPr>
              <w:pStyle w:val="null3"/>
              <w:jc w:val="left"/>
            </w:pPr>
            <w:r>
              <w:rPr>
                <w:rFonts w:ascii="仿宋_GB2312" w:hAnsi="仿宋_GB2312" w:cs="仿宋_GB2312" w:eastAsia="仿宋_GB2312"/>
              </w:rPr>
              <w:t>3、质保期承诺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根据投标人对所投货物的保修期承诺：投标人所投货物的保修期在满足招标文件的要求，在此基础上，每增加1年的得1分，满分2分。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本项目为仙游县总医院新院区搬迁所需物资采购项目，分为2个合同包。</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rPr>
        <w:t>两个合同包的具体技术和服务要求因系统限制，详见附件。</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中标结果公示起45天内完成交货。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1、期次1，说明：交货时间按采购单位要求时间交货；按招标文件和合同要求履行职责，且验收合格并交付使用</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1、货物到货，达到付款条件起30日内，支付合同总金额的30.00%</w:t>
            </w:r>
          </w:p>
          <w:p>
            <w:pPr>
              <w:pStyle w:val="null3"/>
              <w:jc w:val="both"/>
            </w:pPr>
            <w:r>
              <w:rPr>
                <w:rFonts w:ascii="仿宋_GB2312" w:hAnsi="仿宋_GB2312" w:cs="仿宋_GB2312" w:eastAsia="仿宋_GB2312"/>
              </w:rPr>
              <w:t>2、全部验收合格并交付使用，达到付款条件起30日内，支付合同总金额的70.00%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说明：中标人须在合同签订前，以银行转账形式向采购人按中标总金额的3%提交履约保证金。</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中标结果公示起45天内完成交货。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签订合同时约定</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1、期次1，说明：交货时间按采购单位要求时间交货；按招标文件和合同要求履行职责，且验收合格并交付使用</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1、货物到货，达到付款条件起30日内，支付合同总金额的30.00%</w:t>
            </w:r>
          </w:p>
          <w:p>
            <w:pPr>
              <w:pStyle w:val="null3"/>
              <w:jc w:val="both"/>
            </w:pPr>
            <w:r>
              <w:rPr>
                <w:rFonts w:ascii="仿宋_GB2312" w:hAnsi="仿宋_GB2312" w:cs="仿宋_GB2312" w:eastAsia="仿宋_GB2312"/>
              </w:rPr>
              <w:t>2、全部验收合格并交付使用，达到付款条件起30日内，支付合同总金额的70.00%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本采购包履约保证金为合同金额的3%</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说明：中标人须在合同签订前，以银行转账形式向采购人按中标总金额的3%提交履约保证金。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b/>
        </w:rPr>
        <w:t>本项目规定的交货时间为中标结果公示起45天内，若中标人延期交付，按每延期1天扣一千元，从中标人转账的履约保证金中扣，扣完为止。</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1(合同包1)</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合同包1</w:t>
            </w:r>
          </w:p>
        </w:tc>
        <w:tc>
          <w:tcPr>
            <w:tcW w:type="dxa" w:w="1661"/>
          </w:tcPr>
          <w:p>
            <w:pPr>
              <w:pStyle w:val="null3"/>
              <w:jc w:val="left"/>
            </w:pPr>
            <w:r>
              <w:rPr>
                <w:rFonts w:ascii="仿宋_GB2312" w:hAnsi="仿宋_GB2312" w:cs="仿宋_GB2312" w:eastAsia="仿宋_GB2312"/>
              </w:rPr>
              <w:t xml:space="preserve"> 3974400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合同包1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其他架类</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其他架类</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3380000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1300.0000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安全、检查、监视、报警设备1</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安全、检查、监视、报警设备1</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489900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2300.0000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安全、检查、监视、报警设备2</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安全、检查、监视、报警设备2</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550.0000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2(合同包2)</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合同包2</w:t>
            </w:r>
          </w:p>
        </w:tc>
        <w:tc>
          <w:tcPr>
            <w:tcW w:type="dxa" w:w="1661"/>
          </w:tcPr>
          <w:p>
            <w:pPr>
              <w:pStyle w:val="null3"/>
              <w:jc w:val="left"/>
            </w:pPr>
            <w:r>
              <w:rPr>
                <w:rFonts w:ascii="仿宋_GB2312" w:hAnsi="仿宋_GB2312" w:cs="仿宋_GB2312" w:eastAsia="仿宋_GB2312"/>
              </w:rPr>
              <w:t xml:space="preserve"> 8156800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[350322]XYZFCG[GK]2025004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仙游县总医院新院搬迁办公家具、密集架、安全检查监视报警设备采购项目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合同包2</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其他台、桌类</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其他台、桌类</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其他椅凳类1</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其他椅凳类1</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536800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其他椅凳类2</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其他椅凳类2</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1200.0000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